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학생 인계 메모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 이름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작성일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20　　년　　월　　일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현재 수행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수준 요약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효과가 있었던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지도 방법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진행 중인 지원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치료지원 / 행동지원 / 보조인력 등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유의사항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건강 · 안전 · 의사소통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가정 연계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참고 사항</w:t>
            </w:r>
          </w:p>
        </w:tc>
        <w:tc>
          <w:tcPr>
            <w:tcW w:w="6801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전학·진학 시 개별화교육계획은 14일 이내 송부합니다(나이스 전출자료 전송) — 특수교육법 제22조 제3항</w:t>
      </w:r>
    </w:p>
    <w:p/>
    <w:sectPr>
      <w:pgSz w:w="11906" w:h="16838"/>
      <w:pgMar w:top="1418" w:right="1134" w:bottom="1418" w:left="1134" w:header="567" w:footer="567" w:gutter="0"/>
    </w:sectPr>
  </w:body>
</w:document>
</file>